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29B49" w14:textId="1762768C"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w:t>
      </w:r>
      <w:r w:rsidR="001B28B1">
        <w:rPr>
          <w:rFonts w:ascii="Calibri" w:eastAsia="Calibri" w:hAnsi="Calibri" w:cs="Arial"/>
          <w:b/>
          <w:sz w:val="28"/>
          <w:szCs w:val="28"/>
          <w:lang w:eastAsia="en-US"/>
        </w:rPr>
        <w:t>2</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008135EE" w:rsidR="008E6418" w:rsidRPr="002D6355" w:rsidRDefault="00CE351B" w:rsidP="008449BE">
      <w:pPr>
        <w:pStyle w:val="Nadpis8"/>
        <w:shd w:val="clear" w:color="auto" w:fill="FFD966"/>
        <w:rPr>
          <w:b w:val="0"/>
          <w:bCs/>
        </w:rPr>
      </w:pPr>
      <w:r w:rsidRPr="00CE351B">
        <w:t>Ultrazvukové přístroje pro Svitavskou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0EE6E1C9"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w:t>
      </w:r>
      <w:r w:rsidR="001B28B1">
        <w:rPr>
          <w:rFonts w:ascii="Calibri" w:hAnsi="Calibri" w:cs="Arial"/>
          <w:b/>
          <w:sz w:val="24"/>
        </w:rPr>
        <w:t>2</w:t>
      </w:r>
      <w:r w:rsidRPr="00262172">
        <w:rPr>
          <w:rFonts w:ascii="Calibri" w:hAnsi="Calibri" w:cs="Arial"/>
          <w:b/>
          <w:sz w:val="24"/>
        </w:rPr>
        <w:t xml:space="preserve"> veřejné zakázky: </w:t>
      </w:r>
    </w:p>
    <w:p w14:paraId="658B2BAA" w14:textId="55DF7A52" w:rsidR="00AC589E" w:rsidRPr="001E6EC1" w:rsidRDefault="00CE351B" w:rsidP="00AC589E">
      <w:pPr>
        <w:shd w:val="clear" w:color="auto" w:fill="C5E0B3" w:themeFill="accent6" w:themeFillTint="66"/>
        <w:jc w:val="both"/>
        <w:outlineLvl w:val="0"/>
        <w:rPr>
          <w:rFonts w:ascii="Calibri" w:hAnsi="Calibri" w:cs="Arial"/>
          <w:b/>
          <w:sz w:val="28"/>
          <w:szCs w:val="28"/>
        </w:rPr>
      </w:pPr>
      <w:r w:rsidRPr="00CE351B">
        <w:rPr>
          <w:rFonts w:ascii="Calibri" w:hAnsi="Calibri"/>
          <w:b/>
          <w:bCs/>
          <w:sz w:val="28"/>
          <w:szCs w:val="28"/>
          <w:lang w:eastAsia="zh-CN"/>
        </w:rPr>
        <w:t>Ultrazvukový přístroj – typ I</w:t>
      </w:r>
      <w:r w:rsidR="001B28B1">
        <w:rPr>
          <w:rFonts w:ascii="Calibri" w:hAnsi="Calibri"/>
          <w:b/>
          <w:bCs/>
          <w:sz w:val="28"/>
          <w:szCs w:val="28"/>
          <w:lang w:eastAsia="zh-CN"/>
        </w:rPr>
        <w:t xml:space="preserve">I </w:t>
      </w:r>
    </w:p>
    <w:bookmarkEnd w:id="0"/>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DC524D">
      <w:pPr>
        <w:pStyle w:val="Nadpis2"/>
        <w:rPr>
          <w:sz w:val="28"/>
          <w:szCs w:val="28"/>
        </w:rPr>
      </w:pPr>
      <w:r>
        <w:rPr>
          <w:sz w:val="28"/>
          <w:szCs w:val="28"/>
        </w:rPr>
        <w:t>Technické parametry</w:t>
      </w:r>
    </w:p>
    <w:p w14:paraId="20060CBD" w14:textId="77777777" w:rsidR="00DE3B19" w:rsidRDefault="00DE3B19" w:rsidP="00DE3B19">
      <w:pPr>
        <w:rPr>
          <w:lang w:eastAsia="en-US"/>
        </w:rPr>
      </w:pPr>
    </w:p>
    <w:p w14:paraId="2155D4EC" w14:textId="77777777" w:rsidR="00DE3B19" w:rsidRDefault="00DE3B19" w:rsidP="00DE3B19">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1B28B1" w:rsidRPr="001B28B1" w14:paraId="371C2443" w14:textId="77777777" w:rsidTr="00984379">
        <w:trPr>
          <w:cantSplit/>
          <w:trHeight w:val="387"/>
        </w:trPr>
        <w:tc>
          <w:tcPr>
            <w:tcW w:w="5103" w:type="dxa"/>
            <w:shd w:val="clear" w:color="auto" w:fill="BDD6EE" w:themeFill="accent1" w:themeFillTint="66"/>
            <w:vAlign w:val="center"/>
          </w:tcPr>
          <w:p w14:paraId="079DFF01" w14:textId="77777777" w:rsidR="001B28B1" w:rsidRPr="001B28B1" w:rsidRDefault="001B28B1" w:rsidP="001B28B1">
            <w:pPr>
              <w:rPr>
                <w:rFonts w:asciiTheme="minorHAnsi" w:hAnsiTheme="minorHAnsi"/>
                <w:b/>
                <w:sz w:val="28"/>
                <w:szCs w:val="28"/>
              </w:rPr>
            </w:pPr>
            <w:r w:rsidRPr="001B28B1">
              <w:rPr>
                <w:rFonts w:asciiTheme="minorHAnsi" w:hAnsiTheme="minorHAnsi"/>
                <w:b/>
                <w:sz w:val="28"/>
                <w:szCs w:val="28"/>
              </w:rPr>
              <w:t>Položka ve</w:t>
            </w:r>
            <w:r w:rsidRPr="001B28B1">
              <w:rPr>
                <w:rFonts w:asciiTheme="minorHAnsi" w:hAnsiTheme="minorHAnsi"/>
                <w:b/>
                <w:bCs/>
                <w:sz w:val="28"/>
                <w:szCs w:val="28"/>
              </w:rPr>
              <w:t xml:space="preserve">řejné </w:t>
            </w:r>
            <w:r w:rsidRPr="001B28B1">
              <w:rPr>
                <w:rFonts w:asciiTheme="minorHAnsi" w:hAnsiTheme="minorHAnsi"/>
                <w:b/>
                <w:sz w:val="28"/>
                <w:szCs w:val="28"/>
              </w:rPr>
              <w:t>zakázky</w:t>
            </w:r>
          </w:p>
        </w:tc>
        <w:tc>
          <w:tcPr>
            <w:tcW w:w="4530" w:type="dxa"/>
            <w:gridSpan w:val="2"/>
            <w:shd w:val="clear" w:color="auto" w:fill="BDD6EE" w:themeFill="accent1" w:themeFillTint="66"/>
            <w:vAlign w:val="center"/>
          </w:tcPr>
          <w:p w14:paraId="534C7472" w14:textId="16C225E3" w:rsidR="001B28B1" w:rsidRPr="001B28B1" w:rsidRDefault="001B28B1" w:rsidP="001B28B1">
            <w:pPr>
              <w:rPr>
                <w:rFonts w:asciiTheme="minorHAnsi" w:hAnsiTheme="minorHAnsi"/>
                <w:b/>
                <w:bCs/>
                <w:sz w:val="28"/>
                <w:szCs w:val="28"/>
              </w:rPr>
            </w:pPr>
            <w:r w:rsidRPr="001B28B1">
              <w:rPr>
                <w:rFonts w:asciiTheme="minorHAnsi" w:hAnsiTheme="minorHAnsi"/>
                <w:b/>
                <w:bCs/>
                <w:sz w:val="28"/>
                <w:szCs w:val="28"/>
              </w:rPr>
              <w:t xml:space="preserve">Ultrazvukový přístroj – typ II pro RDG </w:t>
            </w:r>
            <w:r w:rsidR="00E555C2">
              <w:rPr>
                <w:rFonts w:asciiTheme="minorHAnsi" w:hAnsiTheme="minorHAnsi"/>
                <w:b/>
                <w:bCs/>
                <w:sz w:val="28"/>
                <w:szCs w:val="28"/>
              </w:rPr>
              <w:t>–</w:t>
            </w:r>
            <w:r>
              <w:rPr>
                <w:rFonts w:asciiTheme="minorHAnsi" w:hAnsiTheme="minorHAnsi"/>
                <w:b/>
                <w:bCs/>
                <w:sz w:val="28"/>
                <w:szCs w:val="28"/>
              </w:rPr>
              <w:t xml:space="preserve"> </w:t>
            </w:r>
            <w:r w:rsidRPr="001B28B1">
              <w:rPr>
                <w:rFonts w:asciiTheme="minorHAnsi" w:hAnsiTheme="minorHAnsi"/>
                <w:b/>
                <w:bCs/>
                <w:sz w:val="28"/>
                <w:szCs w:val="28"/>
              </w:rPr>
              <w:t>1</w:t>
            </w:r>
            <w:r w:rsidR="00E555C2">
              <w:rPr>
                <w:rFonts w:asciiTheme="minorHAnsi" w:hAnsiTheme="minorHAnsi"/>
                <w:b/>
                <w:bCs/>
                <w:sz w:val="28"/>
                <w:szCs w:val="28"/>
              </w:rPr>
              <w:t xml:space="preserve"> </w:t>
            </w:r>
            <w:r w:rsidRPr="001B28B1">
              <w:rPr>
                <w:rFonts w:asciiTheme="minorHAnsi" w:hAnsiTheme="minorHAnsi"/>
                <w:b/>
                <w:bCs/>
                <w:sz w:val="28"/>
                <w:szCs w:val="28"/>
              </w:rPr>
              <w:t>ks</w:t>
            </w:r>
            <w:r>
              <w:rPr>
                <w:rFonts w:asciiTheme="minorHAnsi" w:hAnsiTheme="minorHAnsi"/>
                <w:b/>
                <w:bCs/>
                <w:sz w:val="28"/>
                <w:szCs w:val="28"/>
              </w:rPr>
              <w:t xml:space="preserve"> </w:t>
            </w:r>
          </w:p>
        </w:tc>
      </w:tr>
      <w:tr w:rsidR="001B28B1" w:rsidRPr="001B28B1" w14:paraId="4A58D7F1" w14:textId="77777777" w:rsidTr="00984379">
        <w:trPr>
          <w:cantSplit/>
        </w:trPr>
        <w:tc>
          <w:tcPr>
            <w:tcW w:w="5103" w:type="dxa"/>
            <w:shd w:val="clear" w:color="auto" w:fill="F7CAAC" w:themeFill="accent2" w:themeFillTint="66"/>
          </w:tcPr>
          <w:p w14:paraId="4DA7F8ED" w14:textId="77777777" w:rsidR="001B28B1" w:rsidRPr="001B28B1" w:rsidRDefault="001B28B1" w:rsidP="001B28B1">
            <w:pPr>
              <w:keepNext/>
              <w:outlineLvl w:val="5"/>
              <w:rPr>
                <w:rFonts w:asciiTheme="minorHAnsi" w:hAnsiTheme="minorHAnsi"/>
                <w:b/>
                <w:sz w:val="22"/>
              </w:rPr>
            </w:pPr>
            <w:r w:rsidRPr="001B28B1">
              <w:rPr>
                <w:rFonts w:ascii="Calibri" w:hAnsi="Calibri"/>
                <w:b/>
                <w:sz w:val="22"/>
              </w:rPr>
              <w:t>Závazné charakteristiky a požadavky</w:t>
            </w:r>
          </w:p>
        </w:tc>
        <w:tc>
          <w:tcPr>
            <w:tcW w:w="1560" w:type="dxa"/>
            <w:shd w:val="clear" w:color="auto" w:fill="F7CAAC" w:themeFill="accent2" w:themeFillTint="66"/>
          </w:tcPr>
          <w:p w14:paraId="40058D17" w14:textId="77777777" w:rsidR="001B28B1" w:rsidRPr="001B28B1" w:rsidRDefault="001B28B1" w:rsidP="001B28B1">
            <w:pPr>
              <w:jc w:val="center"/>
              <w:rPr>
                <w:rFonts w:asciiTheme="minorHAnsi" w:hAnsiTheme="minorHAnsi"/>
                <w:b/>
                <w:sz w:val="22"/>
              </w:rPr>
            </w:pPr>
            <w:r w:rsidRPr="001B28B1">
              <w:rPr>
                <w:rFonts w:asciiTheme="minorHAnsi" w:hAnsiTheme="minorHAnsi"/>
                <w:b/>
                <w:sz w:val="22"/>
              </w:rPr>
              <w:t>Splnění požadavku ANO/NE</w:t>
            </w:r>
          </w:p>
          <w:p w14:paraId="300281E6" w14:textId="77777777" w:rsidR="001B28B1" w:rsidRPr="001B28B1" w:rsidRDefault="001B28B1" w:rsidP="001B28B1">
            <w:pPr>
              <w:jc w:val="center"/>
              <w:rPr>
                <w:rFonts w:asciiTheme="minorHAnsi" w:hAnsiTheme="minorHAnsi"/>
                <w:b/>
                <w:sz w:val="22"/>
              </w:rPr>
            </w:pPr>
            <w:r w:rsidRPr="001B28B1">
              <w:rPr>
                <w:rFonts w:ascii="Calibri" w:hAnsi="Calibri"/>
                <w:b/>
                <w:sz w:val="16"/>
                <w:szCs w:val="16"/>
              </w:rPr>
              <w:t>(nutno uvést požadované údaje)</w:t>
            </w:r>
          </w:p>
        </w:tc>
        <w:tc>
          <w:tcPr>
            <w:tcW w:w="2970" w:type="dxa"/>
            <w:shd w:val="clear" w:color="auto" w:fill="F7CAAC" w:themeFill="accent2" w:themeFillTint="66"/>
          </w:tcPr>
          <w:p w14:paraId="6B3E2686" w14:textId="77777777" w:rsidR="001B28B1" w:rsidRPr="001B28B1" w:rsidRDefault="001B28B1" w:rsidP="001B28B1">
            <w:pPr>
              <w:rPr>
                <w:rFonts w:asciiTheme="minorHAnsi" w:hAnsiTheme="minorHAnsi"/>
                <w:b/>
                <w:sz w:val="22"/>
              </w:rPr>
            </w:pPr>
            <w:r w:rsidRPr="001B28B1">
              <w:rPr>
                <w:rFonts w:asciiTheme="minorHAnsi" w:hAnsiTheme="minorHAnsi"/>
                <w:b/>
                <w:sz w:val="22"/>
              </w:rPr>
              <w:t>Popis specifikace nabízeného plnění, ze kterého bude vyplývat splnění požadavků stanovených zadavatelem, možno uvést odkaz na stránku v nabídce.</w:t>
            </w:r>
          </w:p>
        </w:tc>
      </w:tr>
      <w:tr w:rsidR="001B28B1" w:rsidRPr="001B28B1" w14:paraId="4EFFF389" w14:textId="77777777" w:rsidTr="00984379">
        <w:trPr>
          <w:cantSplit/>
        </w:trPr>
        <w:tc>
          <w:tcPr>
            <w:tcW w:w="5103" w:type="dxa"/>
            <w:shd w:val="clear" w:color="auto" w:fill="auto"/>
          </w:tcPr>
          <w:p w14:paraId="4D611CBB"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Nový, nerepasovaný ultrazvukový přístroj, s digitálním formátováním UZ svazku vhodný pro mamo screening v mobilním provedení.</w:t>
            </w:r>
          </w:p>
        </w:tc>
        <w:tc>
          <w:tcPr>
            <w:tcW w:w="1560" w:type="dxa"/>
            <w:shd w:val="clear" w:color="auto" w:fill="auto"/>
          </w:tcPr>
          <w:p w14:paraId="21980628"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6030E64D"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5406C2FF" w14:textId="77777777" w:rsidTr="00984379">
        <w:trPr>
          <w:cantSplit/>
        </w:trPr>
        <w:tc>
          <w:tcPr>
            <w:tcW w:w="5103" w:type="dxa"/>
            <w:shd w:val="clear" w:color="auto" w:fill="auto"/>
          </w:tcPr>
          <w:p w14:paraId="4C2EA742"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Digitální LCD monitor min. 21,5“, na pohyblivém rameni, výškově i stranově stavitelný.</w:t>
            </w:r>
          </w:p>
        </w:tc>
        <w:tc>
          <w:tcPr>
            <w:tcW w:w="1560" w:type="dxa"/>
            <w:shd w:val="clear" w:color="auto" w:fill="auto"/>
          </w:tcPr>
          <w:p w14:paraId="34D37CAC"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3062A954"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02B1FD97" w14:textId="77777777" w:rsidTr="00984379">
        <w:trPr>
          <w:cantSplit/>
        </w:trPr>
        <w:tc>
          <w:tcPr>
            <w:tcW w:w="5103" w:type="dxa"/>
            <w:shd w:val="clear" w:color="auto" w:fill="auto"/>
          </w:tcPr>
          <w:p w14:paraId="2273956B"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Výškově i stranově stavitelný ovládací panel s barevným podsvícením kláves.</w:t>
            </w:r>
          </w:p>
        </w:tc>
        <w:tc>
          <w:tcPr>
            <w:tcW w:w="1560" w:type="dxa"/>
            <w:shd w:val="clear" w:color="auto" w:fill="auto"/>
          </w:tcPr>
          <w:p w14:paraId="4737E91C"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46F6BCB3"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6E890D16" w14:textId="77777777" w:rsidTr="00984379">
        <w:trPr>
          <w:cantSplit/>
        </w:trPr>
        <w:tc>
          <w:tcPr>
            <w:tcW w:w="5103" w:type="dxa"/>
            <w:shd w:val="clear" w:color="auto" w:fill="auto"/>
          </w:tcPr>
          <w:p w14:paraId="015A462D"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Integrovaný dotykový LCD displej min. 10,1“ pro zjednodušení ovládání přístroje (úprava obrazu, měření) s možností konfigurace nabídek uživatelem.</w:t>
            </w:r>
          </w:p>
        </w:tc>
        <w:tc>
          <w:tcPr>
            <w:tcW w:w="1560" w:type="dxa"/>
            <w:shd w:val="clear" w:color="auto" w:fill="auto"/>
          </w:tcPr>
          <w:p w14:paraId="7F42E84A"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44D65BB5"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09E8C8B7" w14:textId="77777777" w:rsidTr="00984379">
        <w:trPr>
          <w:cantSplit/>
        </w:trPr>
        <w:tc>
          <w:tcPr>
            <w:tcW w:w="5103" w:type="dxa"/>
            <w:shd w:val="clear" w:color="auto" w:fill="auto"/>
          </w:tcPr>
          <w:p w14:paraId="1AC7F922"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HW textová klávesnice pod ovládacím panelem, kuličkový </w:t>
            </w:r>
            <w:proofErr w:type="spellStart"/>
            <w:r w:rsidRPr="001B28B1">
              <w:rPr>
                <w:rFonts w:ascii="Calibri" w:hAnsi="Calibri" w:cs="Calibri"/>
                <w:color w:val="000000" w:themeColor="text1"/>
                <w:szCs w:val="20"/>
              </w:rPr>
              <w:t>trackball</w:t>
            </w:r>
            <w:proofErr w:type="spellEnd"/>
            <w:r w:rsidRPr="001B28B1">
              <w:rPr>
                <w:rFonts w:ascii="Calibri" w:hAnsi="Calibri" w:cs="Calibri"/>
                <w:color w:val="000000" w:themeColor="text1"/>
                <w:szCs w:val="20"/>
              </w:rPr>
              <w:t>.</w:t>
            </w:r>
          </w:p>
        </w:tc>
        <w:tc>
          <w:tcPr>
            <w:tcW w:w="1560" w:type="dxa"/>
            <w:shd w:val="clear" w:color="auto" w:fill="auto"/>
          </w:tcPr>
          <w:p w14:paraId="04AD55D0"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08C1B27B"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2240C833" w14:textId="77777777" w:rsidTr="00984379">
        <w:trPr>
          <w:cantSplit/>
        </w:trPr>
        <w:tc>
          <w:tcPr>
            <w:tcW w:w="5103" w:type="dxa"/>
            <w:shd w:val="clear" w:color="auto" w:fill="auto"/>
          </w:tcPr>
          <w:p w14:paraId="4268D884"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Manuální nastavení TGC </w:t>
            </w:r>
          </w:p>
        </w:tc>
        <w:tc>
          <w:tcPr>
            <w:tcW w:w="1560" w:type="dxa"/>
            <w:shd w:val="clear" w:color="auto" w:fill="auto"/>
          </w:tcPr>
          <w:p w14:paraId="4B471718"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014DD714"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457DF5B0" w14:textId="77777777" w:rsidTr="00984379">
        <w:trPr>
          <w:cantSplit/>
        </w:trPr>
        <w:tc>
          <w:tcPr>
            <w:tcW w:w="5103" w:type="dxa"/>
            <w:shd w:val="clear" w:color="auto" w:fill="auto"/>
          </w:tcPr>
          <w:p w14:paraId="2A4D0D45"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Min.4 aktivní konektory pro současné připojení 2D ultrazvukových sond </w:t>
            </w:r>
          </w:p>
        </w:tc>
        <w:tc>
          <w:tcPr>
            <w:tcW w:w="1560" w:type="dxa"/>
            <w:shd w:val="clear" w:color="auto" w:fill="auto"/>
          </w:tcPr>
          <w:p w14:paraId="6902CCA5"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2B71BD75"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6E38D7E6" w14:textId="77777777" w:rsidTr="00984379">
        <w:trPr>
          <w:cantSplit/>
        </w:trPr>
        <w:tc>
          <w:tcPr>
            <w:tcW w:w="5103" w:type="dxa"/>
            <w:shd w:val="clear" w:color="auto" w:fill="auto"/>
          </w:tcPr>
          <w:p w14:paraId="0C474605"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lastRenderedPageBreak/>
              <w:t>Frekvenční rozsah ultrazvukového přístroje v rozmezí</w:t>
            </w:r>
            <w:r w:rsidRPr="001B28B1">
              <w:rPr>
                <w:rFonts w:ascii="Calibri" w:hAnsi="Calibri" w:cs="Calibri"/>
                <w:color w:val="000000" w:themeColor="text1"/>
                <w:szCs w:val="20"/>
              </w:rPr>
              <w:br/>
              <w:t xml:space="preserve">min. 1–18 MHz </w:t>
            </w:r>
          </w:p>
        </w:tc>
        <w:tc>
          <w:tcPr>
            <w:tcW w:w="1560" w:type="dxa"/>
            <w:shd w:val="clear" w:color="auto" w:fill="auto"/>
          </w:tcPr>
          <w:p w14:paraId="2555E291"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6AE1A9B8"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0979C5A5" w14:textId="77777777" w:rsidTr="00984379">
        <w:trPr>
          <w:cantSplit/>
        </w:trPr>
        <w:tc>
          <w:tcPr>
            <w:tcW w:w="5103" w:type="dxa"/>
            <w:shd w:val="clear" w:color="auto" w:fill="auto"/>
          </w:tcPr>
          <w:p w14:paraId="15BF8DAA"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Integrovaný ohřívač gelu </w:t>
            </w:r>
          </w:p>
        </w:tc>
        <w:tc>
          <w:tcPr>
            <w:tcW w:w="1560" w:type="dxa"/>
            <w:shd w:val="clear" w:color="auto" w:fill="auto"/>
          </w:tcPr>
          <w:p w14:paraId="70AA7704"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56A4C080"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25FAE8EB" w14:textId="77777777" w:rsidTr="00984379">
        <w:trPr>
          <w:cantSplit/>
        </w:trPr>
        <w:tc>
          <w:tcPr>
            <w:tcW w:w="5103" w:type="dxa"/>
            <w:shd w:val="clear" w:color="auto" w:fill="auto"/>
          </w:tcPr>
          <w:p w14:paraId="1FA007EF" w14:textId="77777777" w:rsidR="001B28B1" w:rsidRPr="001B28B1" w:rsidRDefault="001B28B1" w:rsidP="001B28B1">
            <w:pPr>
              <w:rPr>
                <w:rFonts w:ascii="Calibri" w:hAnsi="Calibri" w:cs="Calibri"/>
                <w:b/>
                <w:bCs/>
                <w:color w:val="000000" w:themeColor="text1"/>
                <w:szCs w:val="20"/>
              </w:rPr>
            </w:pPr>
            <w:r w:rsidRPr="001B28B1">
              <w:rPr>
                <w:rFonts w:ascii="Calibri" w:hAnsi="Calibri" w:cs="Calibri"/>
                <w:b/>
                <w:bCs/>
                <w:color w:val="000000" w:themeColor="text1"/>
                <w:szCs w:val="20"/>
              </w:rPr>
              <w:t xml:space="preserve">Zobrazovací režimy </w:t>
            </w:r>
          </w:p>
          <w:p w14:paraId="595D301E" w14:textId="77777777" w:rsidR="001B28B1" w:rsidRPr="001B28B1" w:rsidRDefault="001B28B1" w:rsidP="001B28B1">
            <w:pPr>
              <w:rPr>
                <w:rFonts w:ascii="Calibri" w:hAnsi="Calibri" w:cs="Calibri"/>
                <w:color w:val="000000" w:themeColor="text1"/>
                <w:szCs w:val="20"/>
              </w:rPr>
            </w:pPr>
          </w:p>
        </w:tc>
        <w:tc>
          <w:tcPr>
            <w:tcW w:w="1560" w:type="dxa"/>
            <w:shd w:val="clear" w:color="auto" w:fill="auto"/>
          </w:tcPr>
          <w:p w14:paraId="670BD5FF" w14:textId="77777777" w:rsidR="001B28B1" w:rsidRPr="001B28B1" w:rsidRDefault="001B28B1" w:rsidP="001B28B1">
            <w:pPr>
              <w:jc w:val="center"/>
              <w:rPr>
                <w:rFonts w:ascii="Calibri" w:hAnsi="Calibri" w:cs="Calibri"/>
                <w:color w:val="FF0000"/>
                <w:szCs w:val="20"/>
              </w:rPr>
            </w:pPr>
          </w:p>
        </w:tc>
        <w:tc>
          <w:tcPr>
            <w:tcW w:w="2970" w:type="dxa"/>
            <w:shd w:val="clear" w:color="auto" w:fill="auto"/>
          </w:tcPr>
          <w:p w14:paraId="4C1D9571" w14:textId="77777777" w:rsidR="001B28B1" w:rsidRPr="001B28B1" w:rsidRDefault="001B28B1" w:rsidP="001B28B1">
            <w:pPr>
              <w:jc w:val="center"/>
              <w:rPr>
                <w:rFonts w:ascii="Calibri" w:hAnsi="Calibri" w:cs="Calibri"/>
                <w:color w:val="FF0000"/>
                <w:szCs w:val="20"/>
              </w:rPr>
            </w:pPr>
          </w:p>
        </w:tc>
      </w:tr>
      <w:tr w:rsidR="001B28B1" w:rsidRPr="001B28B1" w14:paraId="4E9D0E0A" w14:textId="77777777" w:rsidTr="00984379">
        <w:trPr>
          <w:cantSplit/>
        </w:trPr>
        <w:tc>
          <w:tcPr>
            <w:tcW w:w="5103" w:type="dxa"/>
            <w:shd w:val="clear" w:color="auto" w:fill="auto"/>
          </w:tcPr>
          <w:p w14:paraId="25C6432F"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2D zobrazení na základních frekvencích </w:t>
            </w:r>
          </w:p>
        </w:tc>
        <w:tc>
          <w:tcPr>
            <w:tcW w:w="1560" w:type="dxa"/>
            <w:shd w:val="clear" w:color="auto" w:fill="auto"/>
          </w:tcPr>
          <w:p w14:paraId="420C2450"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66D9DA6A"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35BC9172" w14:textId="77777777" w:rsidTr="00984379">
        <w:trPr>
          <w:cantSplit/>
        </w:trPr>
        <w:tc>
          <w:tcPr>
            <w:tcW w:w="5103" w:type="dxa"/>
            <w:shd w:val="clear" w:color="auto" w:fill="auto"/>
          </w:tcPr>
          <w:p w14:paraId="7A30874C"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Tkáňové harmonické zobrazení </w:t>
            </w:r>
          </w:p>
        </w:tc>
        <w:tc>
          <w:tcPr>
            <w:tcW w:w="1560" w:type="dxa"/>
            <w:shd w:val="clear" w:color="auto" w:fill="auto"/>
          </w:tcPr>
          <w:p w14:paraId="32C35D81"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0BE6F11D"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2D4876F4" w14:textId="77777777" w:rsidTr="00984379">
        <w:trPr>
          <w:cantSplit/>
        </w:trPr>
        <w:tc>
          <w:tcPr>
            <w:tcW w:w="5103" w:type="dxa"/>
            <w:shd w:val="clear" w:color="auto" w:fill="auto"/>
          </w:tcPr>
          <w:p w14:paraId="1E2486D3"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Trapezoidní zobrazení na lineárních sondách </w:t>
            </w:r>
          </w:p>
        </w:tc>
        <w:tc>
          <w:tcPr>
            <w:tcW w:w="1560" w:type="dxa"/>
            <w:shd w:val="clear" w:color="auto" w:fill="auto"/>
          </w:tcPr>
          <w:p w14:paraId="7A552045"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2EC3EC2E"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53C6B519" w14:textId="77777777" w:rsidTr="00984379">
        <w:trPr>
          <w:cantSplit/>
        </w:trPr>
        <w:tc>
          <w:tcPr>
            <w:tcW w:w="5103" w:type="dxa"/>
            <w:shd w:val="clear" w:color="auto" w:fill="auto"/>
          </w:tcPr>
          <w:p w14:paraId="50084B1A"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Úhlové (</w:t>
            </w:r>
            <w:proofErr w:type="spellStart"/>
            <w:r w:rsidRPr="001B28B1">
              <w:rPr>
                <w:rFonts w:ascii="Calibri" w:hAnsi="Calibri" w:cs="Calibri"/>
                <w:color w:val="000000" w:themeColor="text1"/>
                <w:szCs w:val="20"/>
              </w:rPr>
              <w:t>compoudní</w:t>
            </w:r>
            <w:proofErr w:type="spellEnd"/>
            <w:r w:rsidRPr="001B28B1">
              <w:rPr>
                <w:rFonts w:ascii="Calibri" w:hAnsi="Calibri" w:cs="Calibri"/>
                <w:color w:val="000000" w:themeColor="text1"/>
                <w:szCs w:val="20"/>
              </w:rPr>
              <w:t xml:space="preserve">) zobrazení </w:t>
            </w:r>
          </w:p>
        </w:tc>
        <w:tc>
          <w:tcPr>
            <w:tcW w:w="1560" w:type="dxa"/>
            <w:shd w:val="clear" w:color="auto" w:fill="auto"/>
          </w:tcPr>
          <w:p w14:paraId="693603D4"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583DBE9F"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2CA0B8CE" w14:textId="77777777" w:rsidTr="00984379">
        <w:trPr>
          <w:cantSplit/>
        </w:trPr>
        <w:tc>
          <w:tcPr>
            <w:tcW w:w="5103" w:type="dxa"/>
            <w:shd w:val="clear" w:color="auto" w:fill="auto"/>
          </w:tcPr>
          <w:p w14:paraId="091E6A09"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PW – pulzní </w:t>
            </w:r>
            <w:proofErr w:type="spellStart"/>
            <w:r w:rsidRPr="001B28B1">
              <w:rPr>
                <w:rFonts w:ascii="Calibri" w:hAnsi="Calibri" w:cs="Calibri"/>
                <w:color w:val="000000" w:themeColor="text1"/>
                <w:szCs w:val="20"/>
              </w:rPr>
              <w:t>doppler</w:t>
            </w:r>
            <w:proofErr w:type="spellEnd"/>
            <w:r w:rsidRPr="001B28B1">
              <w:rPr>
                <w:rFonts w:ascii="Calibri" w:hAnsi="Calibri" w:cs="Calibri"/>
                <w:color w:val="000000" w:themeColor="text1"/>
                <w:szCs w:val="20"/>
              </w:rPr>
              <w:t xml:space="preserve"> včetně HPRF </w:t>
            </w:r>
          </w:p>
        </w:tc>
        <w:tc>
          <w:tcPr>
            <w:tcW w:w="1560" w:type="dxa"/>
            <w:shd w:val="clear" w:color="auto" w:fill="auto"/>
          </w:tcPr>
          <w:p w14:paraId="6ED68899"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374351AA"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43579C3C" w14:textId="77777777" w:rsidTr="00984379">
        <w:trPr>
          <w:cantSplit/>
        </w:trPr>
        <w:tc>
          <w:tcPr>
            <w:tcW w:w="5103" w:type="dxa"/>
            <w:shd w:val="clear" w:color="auto" w:fill="auto"/>
          </w:tcPr>
          <w:p w14:paraId="2CDE8CB5"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PD – zobrazení energie krevního toku (</w:t>
            </w:r>
            <w:proofErr w:type="spellStart"/>
            <w:r w:rsidRPr="001B28B1">
              <w:rPr>
                <w:rFonts w:ascii="Calibri" w:hAnsi="Calibri" w:cs="Calibri"/>
                <w:color w:val="000000" w:themeColor="text1"/>
                <w:szCs w:val="20"/>
              </w:rPr>
              <w:t>Power</w:t>
            </w:r>
            <w:proofErr w:type="spellEnd"/>
            <w:r w:rsidRPr="001B28B1">
              <w:rPr>
                <w:rFonts w:ascii="Calibri" w:hAnsi="Calibri" w:cs="Calibri"/>
                <w:color w:val="000000" w:themeColor="text1"/>
                <w:szCs w:val="20"/>
              </w:rPr>
              <w:t xml:space="preserve"> / </w:t>
            </w:r>
            <w:proofErr w:type="spellStart"/>
            <w:r w:rsidRPr="001B28B1">
              <w:rPr>
                <w:rFonts w:ascii="Calibri" w:hAnsi="Calibri" w:cs="Calibri"/>
                <w:color w:val="000000" w:themeColor="text1"/>
                <w:szCs w:val="20"/>
              </w:rPr>
              <w:t>Angio</w:t>
            </w:r>
            <w:proofErr w:type="spellEnd"/>
            <w:r w:rsidRPr="001B28B1">
              <w:rPr>
                <w:rFonts w:ascii="Calibri" w:hAnsi="Calibri" w:cs="Calibri"/>
                <w:color w:val="000000" w:themeColor="text1"/>
                <w:szCs w:val="20"/>
              </w:rPr>
              <w:t xml:space="preserve"> </w:t>
            </w:r>
            <w:proofErr w:type="spellStart"/>
            <w:r w:rsidRPr="001B28B1">
              <w:rPr>
                <w:rFonts w:ascii="Calibri" w:hAnsi="Calibri" w:cs="Calibri"/>
                <w:color w:val="000000" w:themeColor="text1"/>
                <w:szCs w:val="20"/>
              </w:rPr>
              <w:t>doppler</w:t>
            </w:r>
            <w:proofErr w:type="spellEnd"/>
            <w:r w:rsidRPr="001B28B1">
              <w:rPr>
                <w:rFonts w:ascii="Calibri" w:hAnsi="Calibri" w:cs="Calibri"/>
                <w:color w:val="000000" w:themeColor="text1"/>
                <w:szCs w:val="20"/>
              </w:rPr>
              <w:t xml:space="preserve">) </w:t>
            </w:r>
          </w:p>
        </w:tc>
        <w:tc>
          <w:tcPr>
            <w:tcW w:w="1560" w:type="dxa"/>
            <w:shd w:val="clear" w:color="auto" w:fill="auto"/>
          </w:tcPr>
          <w:p w14:paraId="70C8B55F"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5EE2F180"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3818A1AC" w14:textId="77777777" w:rsidTr="00984379">
        <w:trPr>
          <w:cantSplit/>
        </w:trPr>
        <w:tc>
          <w:tcPr>
            <w:tcW w:w="5103" w:type="dxa"/>
            <w:shd w:val="clear" w:color="auto" w:fill="auto"/>
          </w:tcPr>
          <w:p w14:paraId="13117062"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CDI – barevné dopplerovské zobrazení </w:t>
            </w:r>
          </w:p>
        </w:tc>
        <w:tc>
          <w:tcPr>
            <w:tcW w:w="1560" w:type="dxa"/>
            <w:shd w:val="clear" w:color="auto" w:fill="auto"/>
          </w:tcPr>
          <w:p w14:paraId="1F111720"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6DB0F0F4"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670EFDBD" w14:textId="77777777" w:rsidTr="00984379">
        <w:trPr>
          <w:cantSplit/>
        </w:trPr>
        <w:tc>
          <w:tcPr>
            <w:tcW w:w="5103" w:type="dxa"/>
            <w:shd w:val="clear" w:color="auto" w:fill="auto"/>
          </w:tcPr>
          <w:p w14:paraId="23FF2604"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Barevná vizualizace drobného cévního zásobení extrémně nízkých rychlostí (</w:t>
            </w:r>
            <w:proofErr w:type="spellStart"/>
            <w:r w:rsidRPr="001B28B1">
              <w:rPr>
                <w:rFonts w:ascii="Calibri" w:hAnsi="Calibri" w:cs="Calibri"/>
                <w:color w:val="000000" w:themeColor="text1"/>
                <w:szCs w:val="20"/>
              </w:rPr>
              <w:t>mikrovaskularizace</w:t>
            </w:r>
            <w:proofErr w:type="spellEnd"/>
            <w:r w:rsidRPr="001B28B1">
              <w:rPr>
                <w:rFonts w:ascii="Calibri" w:hAnsi="Calibri" w:cs="Calibri"/>
                <w:color w:val="000000" w:themeColor="text1"/>
                <w:szCs w:val="20"/>
              </w:rPr>
              <w:t xml:space="preserve">) až 1 cm/sec, včetně sumarizace toku (akumulační mód) na všech sondách </w:t>
            </w:r>
          </w:p>
        </w:tc>
        <w:tc>
          <w:tcPr>
            <w:tcW w:w="1560" w:type="dxa"/>
            <w:shd w:val="clear" w:color="auto" w:fill="auto"/>
          </w:tcPr>
          <w:p w14:paraId="0E623BD3"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699DD55B"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7F848D4A" w14:textId="77777777" w:rsidTr="00984379">
        <w:trPr>
          <w:cantSplit/>
        </w:trPr>
        <w:tc>
          <w:tcPr>
            <w:tcW w:w="5103" w:type="dxa"/>
            <w:shd w:val="clear" w:color="auto" w:fill="auto"/>
          </w:tcPr>
          <w:p w14:paraId="45293B43"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Simultánní duplexní i triplexní zobrazení v reálném čase na všech sondách </w:t>
            </w:r>
          </w:p>
        </w:tc>
        <w:tc>
          <w:tcPr>
            <w:tcW w:w="1560" w:type="dxa"/>
            <w:shd w:val="clear" w:color="auto" w:fill="auto"/>
          </w:tcPr>
          <w:p w14:paraId="59D35FFE"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1D166745"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29144C0B" w14:textId="77777777" w:rsidTr="00984379">
        <w:trPr>
          <w:cantSplit/>
        </w:trPr>
        <w:tc>
          <w:tcPr>
            <w:tcW w:w="5103" w:type="dxa"/>
            <w:shd w:val="clear" w:color="auto" w:fill="auto"/>
          </w:tcPr>
          <w:p w14:paraId="1B2D5E2D"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Simultánní duální zobrazení 2D a 2D + CFM v reálném čase </w:t>
            </w:r>
          </w:p>
        </w:tc>
        <w:tc>
          <w:tcPr>
            <w:tcW w:w="1560" w:type="dxa"/>
            <w:shd w:val="clear" w:color="auto" w:fill="auto"/>
          </w:tcPr>
          <w:p w14:paraId="3682956D"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4AAB4F76"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3BF646E9" w14:textId="77777777" w:rsidTr="00984379">
        <w:trPr>
          <w:cantSplit/>
        </w:trPr>
        <w:tc>
          <w:tcPr>
            <w:tcW w:w="5103" w:type="dxa"/>
            <w:shd w:val="clear" w:color="auto" w:fill="auto"/>
          </w:tcPr>
          <w:p w14:paraId="0AB6043C"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BEAM – zvýšená vizualizace bioptického nástroje </w:t>
            </w:r>
          </w:p>
        </w:tc>
        <w:tc>
          <w:tcPr>
            <w:tcW w:w="1560" w:type="dxa"/>
            <w:shd w:val="clear" w:color="auto" w:fill="auto"/>
          </w:tcPr>
          <w:p w14:paraId="03CD3B28"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73631A56"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457A0963" w14:textId="77777777" w:rsidTr="00984379">
        <w:trPr>
          <w:cantSplit/>
        </w:trPr>
        <w:tc>
          <w:tcPr>
            <w:tcW w:w="5103" w:type="dxa"/>
            <w:shd w:val="clear" w:color="auto" w:fill="auto"/>
          </w:tcPr>
          <w:p w14:paraId="720B213F" w14:textId="77777777" w:rsidR="001B28B1" w:rsidRPr="001B28B1" w:rsidRDefault="001B28B1" w:rsidP="001B28B1">
            <w:pPr>
              <w:spacing w:after="120"/>
              <w:jc w:val="both"/>
              <w:rPr>
                <w:rFonts w:ascii="Calibri" w:hAnsi="Calibri" w:cs="Calibri"/>
                <w:b/>
                <w:bCs/>
                <w:color w:val="000000" w:themeColor="text1"/>
                <w:szCs w:val="20"/>
              </w:rPr>
            </w:pPr>
            <w:r w:rsidRPr="001B28B1">
              <w:rPr>
                <w:rFonts w:ascii="Calibri" w:hAnsi="Calibri" w:cs="Calibri"/>
                <w:b/>
                <w:bCs/>
                <w:color w:val="000000" w:themeColor="text1"/>
                <w:szCs w:val="20"/>
              </w:rPr>
              <w:t>Další parametry obrazu a dat</w:t>
            </w:r>
          </w:p>
        </w:tc>
        <w:tc>
          <w:tcPr>
            <w:tcW w:w="1560" w:type="dxa"/>
            <w:shd w:val="clear" w:color="auto" w:fill="auto"/>
          </w:tcPr>
          <w:p w14:paraId="30076E77" w14:textId="77777777" w:rsidR="001B28B1" w:rsidRPr="001B28B1" w:rsidRDefault="001B28B1" w:rsidP="001B28B1">
            <w:pPr>
              <w:jc w:val="center"/>
              <w:rPr>
                <w:rFonts w:ascii="Calibri" w:hAnsi="Calibri" w:cs="Calibri"/>
                <w:color w:val="FF0000"/>
                <w:szCs w:val="20"/>
              </w:rPr>
            </w:pPr>
          </w:p>
        </w:tc>
        <w:tc>
          <w:tcPr>
            <w:tcW w:w="2970" w:type="dxa"/>
            <w:shd w:val="clear" w:color="auto" w:fill="auto"/>
          </w:tcPr>
          <w:p w14:paraId="28259962" w14:textId="77777777" w:rsidR="001B28B1" w:rsidRPr="001B28B1" w:rsidRDefault="001B28B1" w:rsidP="001B28B1">
            <w:pPr>
              <w:jc w:val="center"/>
              <w:rPr>
                <w:rFonts w:ascii="Calibri" w:hAnsi="Calibri" w:cs="Calibri"/>
                <w:color w:val="FF0000"/>
                <w:szCs w:val="20"/>
              </w:rPr>
            </w:pPr>
          </w:p>
        </w:tc>
      </w:tr>
      <w:tr w:rsidR="001B28B1" w:rsidRPr="001B28B1" w14:paraId="535A3957" w14:textId="77777777" w:rsidTr="00984379">
        <w:trPr>
          <w:cantSplit/>
        </w:trPr>
        <w:tc>
          <w:tcPr>
            <w:tcW w:w="5103" w:type="dxa"/>
            <w:shd w:val="clear" w:color="auto" w:fill="auto"/>
          </w:tcPr>
          <w:p w14:paraId="75C6EB0F"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Automatická jednotlačítková optimalizace 2D obrazu a dopplerovského spektra.</w:t>
            </w:r>
          </w:p>
        </w:tc>
        <w:tc>
          <w:tcPr>
            <w:tcW w:w="1560" w:type="dxa"/>
            <w:shd w:val="clear" w:color="auto" w:fill="auto"/>
          </w:tcPr>
          <w:p w14:paraId="6B34A551"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5DB712D4"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3678DBAC" w14:textId="77777777" w:rsidTr="00984379">
        <w:trPr>
          <w:cantSplit/>
        </w:trPr>
        <w:tc>
          <w:tcPr>
            <w:tcW w:w="5103" w:type="dxa"/>
            <w:shd w:val="clear" w:color="auto" w:fill="auto"/>
          </w:tcPr>
          <w:p w14:paraId="47568EC7"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Uspořádání 2D obrazu a dopplerovského spektra na monitoru vedle sebe i nad sebou s možnosti změny typu a poměru tohoto zobrazení.</w:t>
            </w:r>
          </w:p>
        </w:tc>
        <w:tc>
          <w:tcPr>
            <w:tcW w:w="1560" w:type="dxa"/>
            <w:shd w:val="clear" w:color="auto" w:fill="auto"/>
          </w:tcPr>
          <w:p w14:paraId="5EB04FC4"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2CF10C7D"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152FB9AE" w14:textId="77777777" w:rsidTr="00984379">
        <w:trPr>
          <w:cantSplit/>
        </w:trPr>
        <w:tc>
          <w:tcPr>
            <w:tcW w:w="5103" w:type="dxa"/>
            <w:shd w:val="clear" w:color="auto" w:fill="auto"/>
          </w:tcPr>
          <w:p w14:paraId="55901B2B"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Zvětšování a zmenšování zobrazovacího pole v aktivním, zmraženém i </w:t>
            </w:r>
            <w:proofErr w:type="spellStart"/>
            <w:r w:rsidRPr="001B28B1">
              <w:rPr>
                <w:rFonts w:ascii="Calibri" w:hAnsi="Calibri" w:cs="Calibri"/>
                <w:color w:val="000000" w:themeColor="text1"/>
                <w:szCs w:val="20"/>
              </w:rPr>
              <w:t>cine</w:t>
            </w:r>
            <w:proofErr w:type="spellEnd"/>
            <w:r w:rsidRPr="001B28B1">
              <w:rPr>
                <w:rFonts w:ascii="Calibri" w:hAnsi="Calibri" w:cs="Calibri"/>
                <w:color w:val="000000" w:themeColor="text1"/>
                <w:szCs w:val="20"/>
              </w:rPr>
              <w:t xml:space="preserve"> režimu.</w:t>
            </w:r>
          </w:p>
        </w:tc>
        <w:tc>
          <w:tcPr>
            <w:tcW w:w="1560" w:type="dxa"/>
            <w:shd w:val="clear" w:color="auto" w:fill="auto"/>
          </w:tcPr>
          <w:p w14:paraId="146F179E"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04E9B775"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7265F7E6" w14:textId="77777777" w:rsidTr="00984379">
        <w:trPr>
          <w:cantSplit/>
        </w:trPr>
        <w:tc>
          <w:tcPr>
            <w:tcW w:w="5103" w:type="dxa"/>
            <w:shd w:val="clear" w:color="auto" w:fill="auto"/>
          </w:tcPr>
          <w:p w14:paraId="62F30833"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Zoom akustický i digitální včetně horizontálního/vertikálního posunu.</w:t>
            </w:r>
          </w:p>
        </w:tc>
        <w:tc>
          <w:tcPr>
            <w:tcW w:w="1560" w:type="dxa"/>
            <w:shd w:val="clear" w:color="auto" w:fill="auto"/>
          </w:tcPr>
          <w:p w14:paraId="208E6B04"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12AC2DCE"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4F50C4C8" w14:textId="77777777" w:rsidTr="00984379">
        <w:trPr>
          <w:cantSplit/>
        </w:trPr>
        <w:tc>
          <w:tcPr>
            <w:tcW w:w="5103" w:type="dxa"/>
            <w:shd w:val="clear" w:color="auto" w:fill="auto"/>
          </w:tcPr>
          <w:p w14:paraId="4CE41802"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Možnost měření v živém i zmrazeném obraze.</w:t>
            </w:r>
          </w:p>
        </w:tc>
        <w:tc>
          <w:tcPr>
            <w:tcW w:w="1560" w:type="dxa"/>
            <w:shd w:val="clear" w:color="auto" w:fill="auto"/>
          </w:tcPr>
          <w:p w14:paraId="6579DC77"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0F0BB5F9"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509F903B" w14:textId="77777777" w:rsidTr="00984379">
        <w:trPr>
          <w:cantSplit/>
        </w:trPr>
        <w:tc>
          <w:tcPr>
            <w:tcW w:w="5103" w:type="dxa"/>
            <w:shd w:val="clear" w:color="auto" w:fill="auto"/>
          </w:tcPr>
          <w:p w14:paraId="689A16C1"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Programové vybavení pro základní měření a výpočty (délka, plocha, objem)</w:t>
            </w:r>
          </w:p>
        </w:tc>
        <w:tc>
          <w:tcPr>
            <w:tcW w:w="1560" w:type="dxa"/>
            <w:shd w:val="clear" w:color="auto" w:fill="auto"/>
          </w:tcPr>
          <w:p w14:paraId="7A67CBBE"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7B002BDC"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3DEB7A14" w14:textId="77777777" w:rsidTr="00984379">
        <w:trPr>
          <w:cantSplit/>
        </w:trPr>
        <w:tc>
          <w:tcPr>
            <w:tcW w:w="5103" w:type="dxa"/>
            <w:shd w:val="clear" w:color="auto" w:fill="auto"/>
          </w:tcPr>
          <w:p w14:paraId="146D0446"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Automatické trasování dopplerovských křivek s výpočty hodnot S, D, S/D, RI, PI, </w:t>
            </w:r>
            <w:proofErr w:type="spellStart"/>
            <w:r w:rsidRPr="001B28B1">
              <w:rPr>
                <w:rFonts w:ascii="Calibri" w:hAnsi="Calibri" w:cs="Calibri"/>
                <w:color w:val="000000" w:themeColor="text1"/>
                <w:szCs w:val="20"/>
              </w:rPr>
              <w:t>TAMmax</w:t>
            </w:r>
            <w:proofErr w:type="spellEnd"/>
            <w:r w:rsidRPr="001B28B1">
              <w:rPr>
                <w:rFonts w:ascii="Calibri" w:hAnsi="Calibri" w:cs="Calibri"/>
                <w:color w:val="000000" w:themeColor="text1"/>
                <w:szCs w:val="20"/>
              </w:rPr>
              <w:t xml:space="preserve">, </w:t>
            </w:r>
            <w:proofErr w:type="spellStart"/>
            <w:r w:rsidRPr="001B28B1">
              <w:rPr>
                <w:rFonts w:ascii="Calibri" w:hAnsi="Calibri" w:cs="Calibri"/>
                <w:color w:val="000000" w:themeColor="text1"/>
                <w:szCs w:val="20"/>
              </w:rPr>
              <w:t>TAMmean</w:t>
            </w:r>
            <w:proofErr w:type="spellEnd"/>
            <w:r w:rsidRPr="001B28B1">
              <w:rPr>
                <w:rFonts w:ascii="Calibri" w:hAnsi="Calibri" w:cs="Calibri"/>
                <w:color w:val="000000" w:themeColor="text1"/>
                <w:szCs w:val="20"/>
              </w:rPr>
              <w:t xml:space="preserve"> na zmraženém záznamu i v aktivním režimu snímání </w:t>
            </w:r>
          </w:p>
        </w:tc>
        <w:tc>
          <w:tcPr>
            <w:tcW w:w="1560" w:type="dxa"/>
            <w:shd w:val="clear" w:color="auto" w:fill="auto"/>
          </w:tcPr>
          <w:p w14:paraId="3549A6EE"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6595C676"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3DB8E713" w14:textId="77777777" w:rsidTr="00984379">
        <w:trPr>
          <w:cantSplit/>
        </w:trPr>
        <w:tc>
          <w:tcPr>
            <w:tcW w:w="5103" w:type="dxa"/>
            <w:shd w:val="clear" w:color="auto" w:fill="auto"/>
          </w:tcPr>
          <w:p w14:paraId="0DB7299C"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Paměťová smyčka s možností manuálního či dynamického prohlížení</w:t>
            </w:r>
          </w:p>
        </w:tc>
        <w:tc>
          <w:tcPr>
            <w:tcW w:w="1560" w:type="dxa"/>
            <w:shd w:val="clear" w:color="auto" w:fill="auto"/>
          </w:tcPr>
          <w:p w14:paraId="46C3FF11"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681D0E42"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039048E7" w14:textId="77777777" w:rsidTr="00984379">
        <w:trPr>
          <w:cantSplit/>
        </w:trPr>
        <w:tc>
          <w:tcPr>
            <w:tcW w:w="5103" w:type="dxa"/>
            <w:shd w:val="clear" w:color="auto" w:fill="auto"/>
          </w:tcPr>
          <w:p w14:paraId="7985895C"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lastRenderedPageBreak/>
              <w:t xml:space="preserve">Tvorba databáze pacientských a obrazových dat na interním HDD </w:t>
            </w:r>
          </w:p>
        </w:tc>
        <w:tc>
          <w:tcPr>
            <w:tcW w:w="1560" w:type="dxa"/>
            <w:shd w:val="clear" w:color="auto" w:fill="auto"/>
          </w:tcPr>
          <w:p w14:paraId="12F376E0"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21242AF2"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2AB88AB9" w14:textId="77777777" w:rsidTr="00984379">
        <w:trPr>
          <w:cantSplit/>
        </w:trPr>
        <w:tc>
          <w:tcPr>
            <w:tcW w:w="5103" w:type="dxa"/>
            <w:shd w:val="clear" w:color="auto" w:fill="auto"/>
          </w:tcPr>
          <w:p w14:paraId="5149883B"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b/>
                <w:bCs/>
                <w:color w:val="000000" w:themeColor="text1"/>
                <w:szCs w:val="20"/>
              </w:rPr>
              <w:t>Dokumentační zařízení</w:t>
            </w:r>
          </w:p>
        </w:tc>
        <w:tc>
          <w:tcPr>
            <w:tcW w:w="1560" w:type="dxa"/>
            <w:shd w:val="clear" w:color="auto" w:fill="auto"/>
          </w:tcPr>
          <w:p w14:paraId="0CFC0FC3" w14:textId="77777777" w:rsidR="001B28B1" w:rsidRPr="001B28B1" w:rsidRDefault="001B28B1" w:rsidP="001B28B1">
            <w:pPr>
              <w:jc w:val="center"/>
              <w:rPr>
                <w:rFonts w:ascii="Calibri" w:hAnsi="Calibri" w:cs="Calibri"/>
                <w:color w:val="FF0000"/>
                <w:szCs w:val="20"/>
              </w:rPr>
            </w:pPr>
          </w:p>
        </w:tc>
        <w:tc>
          <w:tcPr>
            <w:tcW w:w="2970" w:type="dxa"/>
            <w:shd w:val="clear" w:color="auto" w:fill="auto"/>
          </w:tcPr>
          <w:p w14:paraId="3CF55487" w14:textId="77777777" w:rsidR="001B28B1" w:rsidRPr="001B28B1" w:rsidRDefault="001B28B1" w:rsidP="001B28B1">
            <w:pPr>
              <w:jc w:val="center"/>
              <w:rPr>
                <w:rFonts w:ascii="Calibri" w:hAnsi="Calibri" w:cs="Calibri"/>
                <w:color w:val="FF0000"/>
                <w:szCs w:val="20"/>
              </w:rPr>
            </w:pPr>
          </w:p>
        </w:tc>
      </w:tr>
      <w:tr w:rsidR="001B28B1" w:rsidRPr="001B28B1" w14:paraId="1F0D0C78" w14:textId="77777777" w:rsidTr="00984379">
        <w:trPr>
          <w:cantSplit/>
        </w:trPr>
        <w:tc>
          <w:tcPr>
            <w:tcW w:w="5103" w:type="dxa"/>
            <w:shd w:val="clear" w:color="auto" w:fill="auto"/>
          </w:tcPr>
          <w:p w14:paraId="04AEA038"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Interní HDD (typu SSD) o kapacitě 1TB pro archivaci snímků a obrazových sekvencí </w:t>
            </w:r>
          </w:p>
        </w:tc>
        <w:tc>
          <w:tcPr>
            <w:tcW w:w="1560" w:type="dxa"/>
            <w:shd w:val="clear" w:color="auto" w:fill="auto"/>
          </w:tcPr>
          <w:p w14:paraId="3A4542FC"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0E2791B2"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151DF2D8" w14:textId="77777777" w:rsidTr="00984379">
        <w:trPr>
          <w:cantSplit/>
        </w:trPr>
        <w:tc>
          <w:tcPr>
            <w:tcW w:w="5103" w:type="dxa"/>
            <w:shd w:val="clear" w:color="auto" w:fill="auto"/>
          </w:tcPr>
          <w:p w14:paraId="52A410EA"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Komunikační modul DICOM pro napojení přístroje k archivačnímu systému typu PACS/NIS </w:t>
            </w:r>
          </w:p>
        </w:tc>
        <w:tc>
          <w:tcPr>
            <w:tcW w:w="1560" w:type="dxa"/>
            <w:shd w:val="clear" w:color="auto" w:fill="auto"/>
          </w:tcPr>
          <w:p w14:paraId="7B29B91F"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0AAFCB7B"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11372B42" w14:textId="77777777" w:rsidTr="00984379">
        <w:trPr>
          <w:cantSplit/>
        </w:trPr>
        <w:tc>
          <w:tcPr>
            <w:tcW w:w="5103" w:type="dxa"/>
            <w:shd w:val="clear" w:color="auto" w:fill="auto"/>
          </w:tcPr>
          <w:p w14:paraId="38FA150C"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USB porty pro připojení externích paměťových zařízení typu </w:t>
            </w:r>
            <w:proofErr w:type="spellStart"/>
            <w:r w:rsidRPr="001B28B1">
              <w:rPr>
                <w:rFonts w:ascii="Calibri" w:hAnsi="Calibri" w:cs="Calibri"/>
                <w:color w:val="000000" w:themeColor="text1"/>
                <w:szCs w:val="20"/>
              </w:rPr>
              <w:t>Flash</w:t>
            </w:r>
            <w:proofErr w:type="spellEnd"/>
            <w:r w:rsidRPr="001B28B1">
              <w:rPr>
                <w:rFonts w:ascii="Calibri" w:hAnsi="Calibri" w:cs="Calibri"/>
                <w:color w:val="000000" w:themeColor="text1"/>
                <w:szCs w:val="20"/>
              </w:rPr>
              <w:t xml:space="preserve"> Disk </w:t>
            </w:r>
          </w:p>
        </w:tc>
        <w:tc>
          <w:tcPr>
            <w:tcW w:w="1560" w:type="dxa"/>
            <w:shd w:val="clear" w:color="auto" w:fill="auto"/>
          </w:tcPr>
          <w:p w14:paraId="6D063942"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22CF9942"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1FB4CF80" w14:textId="77777777" w:rsidTr="00984379">
        <w:trPr>
          <w:cantSplit/>
          <w:trHeight w:val="455"/>
        </w:trPr>
        <w:tc>
          <w:tcPr>
            <w:tcW w:w="5103" w:type="dxa"/>
            <w:shd w:val="clear" w:color="auto" w:fill="auto"/>
          </w:tcPr>
          <w:p w14:paraId="0C8331E3"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Wi-Fi bezdrátové připojení ultrazvukového přístroje</w:t>
            </w:r>
          </w:p>
        </w:tc>
        <w:tc>
          <w:tcPr>
            <w:tcW w:w="1560" w:type="dxa"/>
            <w:shd w:val="clear" w:color="auto" w:fill="auto"/>
          </w:tcPr>
          <w:p w14:paraId="201D79B4"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25D2B6A0"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49C81C7C" w14:textId="77777777" w:rsidTr="00984379">
        <w:trPr>
          <w:cantSplit/>
        </w:trPr>
        <w:tc>
          <w:tcPr>
            <w:tcW w:w="5103" w:type="dxa"/>
            <w:shd w:val="clear" w:color="auto" w:fill="auto"/>
          </w:tcPr>
          <w:p w14:paraId="76891DE4"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b/>
                <w:bCs/>
                <w:color w:val="000000" w:themeColor="text1"/>
                <w:szCs w:val="20"/>
              </w:rPr>
              <w:t>Ultrazvukové sondy</w:t>
            </w:r>
          </w:p>
        </w:tc>
        <w:tc>
          <w:tcPr>
            <w:tcW w:w="1560" w:type="dxa"/>
            <w:shd w:val="clear" w:color="auto" w:fill="auto"/>
          </w:tcPr>
          <w:p w14:paraId="054C9D1B" w14:textId="77777777" w:rsidR="001B28B1" w:rsidRPr="001B28B1" w:rsidRDefault="001B28B1" w:rsidP="001B28B1">
            <w:pPr>
              <w:jc w:val="center"/>
              <w:rPr>
                <w:rFonts w:ascii="Calibri" w:hAnsi="Calibri" w:cs="Calibri"/>
                <w:color w:val="FF0000"/>
                <w:szCs w:val="20"/>
              </w:rPr>
            </w:pPr>
          </w:p>
        </w:tc>
        <w:tc>
          <w:tcPr>
            <w:tcW w:w="2970" w:type="dxa"/>
            <w:shd w:val="clear" w:color="auto" w:fill="auto"/>
          </w:tcPr>
          <w:p w14:paraId="6733D03A" w14:textId="77777777" w:rsidR="001B28B1" w:rsidRPr="001B28B1" w:rsidRDefault="001B28B1" w:rsidP="001B28B1">
            <w:pPr>
              <w:jc w:val="center"/>
              <w:rPr>
                <w:rFonts w:ascii="Calibri" w:hAnsi="Calibri" w:cs="Calibri"/>
                <w:color w:val="FF0000"/>
                <w:szCs w:val="20"/>
              </w:rPr>
            </w:pPr>
          </w:p>
        </w:tc>
      </w:tr>
      <w:tr w:rsidR="001B28B1" w:rsidRPr="001B28B1" w14:paraId="1457B0AC" w14:textId="77777777" w:rsidTr="00984379">
        <w:trPr>
          <w:cantSplit/>
        </w:trPr>
        <w:tc>
          <w:tcPr>
            <w:tcW w:w="5103" w:type="dxa"/>
            <w:shd w:val="clear" w:color="auto" w:fill="auto"/>
          </w:tcPr>
          <w:p w14:paraId="1CF98B9A"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1ks – lineární sonda pro vyšetřování v blízkém poli (MSK aplikace, prsní tkáň, </w:t>
            </w:r>
            <w:proofErr w:type="spellStart"/>
            <w:r w:rsidRPr="001B28B1">
              <w:rPr>
                <w:rFonts w:ascii="Calibri" w:hAnsi="Calibri" w:cs="Calibri"/>
                <w:color w:val="000000" w:themeColor="text1"/>
                <w:szCs w:val="20"/>
              </w:rPr>
              <w:t>šť.žláza</w:t>
            </w:r>
            <w:proofErr w:type="spellEnd"/>
            <w:r w:rsidRPr="001B28B1">
              <w:rPr>
                <w:rFonts w:ascii="Calibri" w:hAnsi="Calibri" w:cs="Calibri"/>
                <w:color w:val="000000" w:themeColor="text1"/>
                <w:szCs w:val="20"/>
              </w:rPr>
              <w:t>) – aktivní šíře sondy 60 mm. Frekvenční rozsah min. 5–14 MHz</w:t>
            </w:r>
          </w:p>
        </w:tc>
        <w:tc>
          <w:tcPr>
            <w:tcW w:w="1560" w:type="dxa"/>
            <w:shd w:val="clear" w:color="auto" w:fill="auto"/>
          </w:tcPr>
          <w:p w14:paraId="2C6D6285"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7B695E68"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r w:rsidR="001B28B1" w:rsidRPr="001B28B1" w14:paraId="3D3839B8" w14:textId="77777777" w:rsidTr="00984379">
        <w:trPr>
          <w:cantSplit/>
        </w:trPr>
        <w:tc>
          <w:tcPr>
            <w:tcW w:w="5103" w:type="dxa"/>
            <w:shd w:val="clear" w:color="auto" w:fill="auto"/>
          </w:tcPr>
          <w:p w14:paraId="032177C0" w14:textId="77777777" w:rsidR="001B28B1" w:rsidRPr="001B28B1" w:rsidRDefault="001B28B1" w:rsidP="001B28B1">
            <w:pPr>
              <w:spacing w:after="120"/>
              <w:jc w:val="both"/>
              <w:rPr>
                <w:rFonts w:ascii="Calibri" w:hAnsi="Calibri" w:cs="Calibri"/>
                <w:color w:val="000000" w:themeColor="text1"/>
                <w:szCs w:val="20"/>
              </w:rPr>
            </w:pPr>
            <w:r w:rsidRPr="001B28B1">
              <w:rPr>
                <w:rFonts w:ascii="Calibri" w:hAnsi="Calibri" w:cs="Calibri"/>
                <w:color w:val="000000" w:themeColor="text1"/>
                <w:szCs w:val="20"/>
              </w:rPr>
              <w:t xml:space="preserve">1ks – vf lineární sonda pro detailní vyšetření blízkého pole – aktivní šíře sondy 40 mm. Frekvenční rozsah 7–18 MHz. </w:t>
            </w:r>
          </w:p>
        </w:tc>
        <w:tc>
          <w:tcPr>
            <w:tcW w:w="1560" w:type="dxa"/>
            <w:shd w:val="clear" w:color="auto" w:fill="auto"/>
          </w:tcPr>
          <w:p w14:paraId="35FBBC3E"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c>
          <w:tcPr>
            <w:tcW w:w="2970" w:type="dxa"/>
            <w:shd w:val="clear" w:color="auto" w:fill="auto"/>
          </w:tcPr>
          <w:p w14:paraId="157178E9" w14:textId="77777777" w:rsidR="001B28B1" w:rsidRPr="001B28B1" w:rsidRDefault="001B28B1" w:rsidP="001B28B1">
            <w:pPr>
              <w:jc w:val="center"/>
              <w:rPr>
                <w:rFonts w:ascii="Calibri" w:hAnsi="Calibri" w:cs="Calibri"/>
                <w:color w:val="FF0000"/>
                <w:szCs w:val="20"/>
              </w:rPr>
            </w:pPr>
            <w:r w:rsidRPr="001B28B1">
              <w:rPr>
                <w:rFonts w:ascii="Calibri" w:hAnsi="Calibri" w:cs="Calibri"/>
                <w:color w:val="FF0000"/>
                <w:szCs w:val="20"/>
              </w:rPr>
              <w:t>(doplní dodavatel)</w:t>
            </w:r>
          </w:p>
        </w:tc>
      </w:tr>
    </w:tbl>
    <w:p w14:paraId="54DE7FF1" w14:textId="77777777" w:rsidR="00DE3B19" w:rsidRDefault="00DE3B19" w:rsidP="00DE3B19">
      <w:pPr>
        <w:rPr>
          <w:lang w:eastAsia="en-US"/>
        </w:rPr>
      </w:pPr>
    </w:p>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p w14:paraId="4D56C4E7" w14:textId="77777777" w:rsidR="00DE3B19" w:rsidRPr="00DE3B19" w:rsidRDefault="00DE3B19" w:rsidP="00DE3B19">
      <w:pPr>
        <w:rPr>
          <w:lang w:eastAsia="en-US"/>
        </w:rPr>
      </w:pPr>
    </w:p>
    <w:p w14:paraId="49CC5F6E" w14:textId="77777777" w:rsidR="004D3E61" w:rsidRDefault="004D3E61" w:rsidP="004D3E61">
      <w:pPr>
        <w:rPr>
          <w:lang w:eastAsia="en-US"/>
        </w:rPr>
      </w:pPr>
    </w:p>
    <w:sectPr w:rsidR="004D3E61"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63E7147E" w:rsidR="00937D5C" w:rsidRDefault="00E555C2">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32F10269" w:rsidR="00937D5C" w:rsidRDefault="00FA2D12" w:rsidP="001B7696">
    <w:pPr>
      <w:pStyle w:val="Zhlav"/>
      <w:ind w:hanging="284"/>
      <w:jc w:val="both"/>
    </w:pPr>
    <w:r>
      <w:rPr>
        <w:noProof/>
      </w:rPr>
      <w:drawing>
        <wp:anchor distT="0" distB="0" distL="0" distR="0" simplePos="0" relativeHeight="4" behindDoc="1" locked="0" layoutInCell="1" allowOverlap="1" wp14:anchorId="3E38FC4B" wp14:editId="62F6371B">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5"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1"/>
  </w:num>
  <w:num w:numId="2" w16cid:durableId="983967553">
    <w:abstractNumId w:val="12"/>
  </w:num>
  <w:num w:numId="3" w16cid:durableId="202253826">
    <w:abstractNumId w:val="5"/>
  </w:num>
  <w:num w:numId="4" w16cid:durableId="1003703451">
    <w:abstractNumId w:val="6"/>
  </w:num>
  <w:num w:numId="5" w16cid:durableId="440733902">
    <w:abstractNumId w:val="14"/>
  </w:num>
  <w:num w:numId="6" w16cid:durableId="427196210">
    <w:abstractNumId w:val="4"/>
  </w:num>
  <w:num w:numId="7" w16cid:durableId="1428383018">
    <w:abstractNumId w:val="0"/>
  </w:num>
  <w:num w:numId="8" w16cid:durableId="1874802272">
    <w:abstractNumId w:val="16"/>
  </w:num>
  <w:num w:numId="9" w16cid:durableId="742918293">
    <w:abstractNumId w:val="15"/>
  </w:num>
  <w:num w:numId="10" w16cid:durableId="30694078">
    <w:abstractNumId w:val="13"/>
  </w:num>
  <w:num w:numId="11" w16cid:durableId="1276597597">
    <w:abstractNumId w:val="9"/>
  </w:num>
  <w:num w:numId="12" w16cid:durableId="1514686251">
    <w:abstractNumId w:val="8"/>
  </w:num>
  <w:num w:numId="13" w16cid:durableId="1224104312">
    <w:abstractNumId w:val="7"/>
  </w:num>
  <w:num w:numId="14" w16cid:durableId="1342925447">
    <w:abstractNumId w:val="1"/>
  </w:num>
  <w:num w:numId="15" w16cid:durableId="706418890">
    <w:abstractNumId w:val="10"/>
  </w:num>
  <w:num w:numId="16" w16cid:durableId="1860970484">
    <w:abstractNumId w:val="2"/>
  </w:num>
  <w:num w:numId="17" w16cid:durableId="1894349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A6584"/>
    <w:rsid w:val="000C3F7C"/>
    <w:rsid w:val="001137F5"/>
    <w:rsid w:val="0012608B"/>
    <w:rsid w:val="00131022"/>
    <w:rsid w:val="00141F0B"/>
    <w:rsid w:val="001727BC"/>
    <w:rsid w:val="001927AC"/>
    <w:rsid w:val="00195118"/>
    <w:rsid w:val="001A6FFF"/>
    <w:rsid w:val="001B13B8"/>
    <w:rsid w:val="001B28B1"/>
    <w:rsid w:val="001B2C63"/>
    <w:rsid w:val="001B74A2"/>
    <w:rsid w:val="001B7696"/>
    <w:rsid w:val="001E6EC1"/>
    <w:rsid w:val="001F3320"/>
    <w:rsid w:val="001F4453"/>
    <w:rsid w:val="00240005"/>
    <w:rsid w:val="00241AEE"/>
    <w:rsid w:val="00284E92"/>
    <w:rsid w:val="00284EFD"/>
    <w:rsid w:val="002A1AFE"/>
    <w:rsid w:val="002B0C31"/>
    <w:rsid w:val="002C62FD"/>
    <w:rsid w:val="002D6355"/>
    <w:rsid w:val="002D70ED"/>
    <w:rsid w:val="002E5BD6"/>
    <w:rsid w:val="002F1B9A"/>
    <w:rsid w:val="002F4BF4"/>
    <w:rsid w:val="003071B5"/>
    <w:rsid w:val="003109C6"/>
    <w:rsid w:val="00313683"/>
    <w:rsid w:val="003237AE"/>
    <w:rsid w:val="00342273"/>
    <w:rsid w:val="00345114"/>
    <w:rsid w:val="003613F2"/>
    <w:rsid w:val="00373CA0"/>
    <w:rsid w:val="003A0D28"/>
    <w:rsid w:val="003A1147"/>
    <w:rsid w:val="003F24AA"/>
    <w:rsid w:val="00404BC9"/>
    <w:rsid w:val="00416A37"/>
    <w:rsid w:val="00417F3E"/>
    <w:rsid w:val="00436827"/>
    <w:rsid w:val="00460911"/>
    <w:rsid w:val="00462610"/>
    <w:rsid w:val="00473AB1"/>
    <w:rsid w:val="004A1A23"/>
    <w:rsid w:val="004D3738"/>
    <w:rsid w:val="004D3E61"/>
    <w:rsid w:val="004F6A6A"/>
    <w:rsid w:val="005434A4"/>
    <w:rsid w:val="0055649A"/>
    <w:rsid w:val="005942D1"/>
    <w:rsid w:val="005E6E9E"/>
    <w:rsid w:val="005F2849"/>
    <w:rsid w:val="00642A61"/>
    <w:rsid w:val="00652493"/>
    <w:rsid w:val="00663ECC"/>
    <w:rsid w:val="00683F6B"/>
    <w:rsid w:val="006A2728"/>
    <w:rsid w:val="006A5BF6"/>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2179A"/>
    <w:rsid w:val="008449BE"/>
    <w:rsid w:val="008504E9"/>
    <w:rsid w:val="00865138"/>
    <w:rsid w:val="008939CC"/>
    <w:rsid w:val="008A14A5"/>
    <w:rsid w:val="008A6319"/>
    <w:rsid w:val="008C15FC"/>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42F"/>
    <w:rsid w:val="00AA0655"/>
    <w:rsid w:val="00AC2932"/>
    <w:rsid w:val="00AC589E"/>
    <w:rsid w:val="00B07401"/>
    <w:rsid w:val="00B2490D"/>
    <w:rsid w:val="00B73B1A"/>
    <w:rsid w:val="00BA197F"/>
    <w:rsid w:val="00BA3702"/>
    <w:rsid w:val="00BA616F"/>
    <w:rsid w:val="00BC0C20"/>
    <w:rsid w:val="00BC6AE7"/>
    <w:rsid w:val="00BF0D41"/>
    <w:rsid w:val="00BF54A8"/>
    <w:rsid w:val="00BF7AC4"/>
    <w:rsid w:val="00C35ABF"/>
    <w:rsid w:val="00C46A61"/>
    <w:rsid w:val="00C74136"/>
    <w:rsid w:val="00C83A5B"/>
    <w:rsid w:val="00CC0654"/>
    <w:rsid w:val="00CC2F5B"/>
    <w:rsid w:val="00CC693A"/>
    <w:rsid w:val="00CE351B"/>
    <w:rsid w:val="00CF14E6"/>
    <w:rsid w:val="00CF30CB"/>
    <w:rsid w:val="00CF6819"/>
    <w:rsid w:val="00D00F63"/>
    <w:rsid w:val="00D3251B"/>
    <w:rsid w:val="00D5775E"/>
    <w:rsid w:val="00D83D6B"/>
    <w:rsid w:val="00D87C68"/>
    <w:rsid w:val="00DC524D"/>
    <w:rsid w:val="00DE3B19"/>
    <w:rsid w:val="00DF5F73"/>
    <w:rsid w:val="00E555C2"/>
    <w:rsid w:val="00E7564E"/>
    <w:rsid w:val="00E94D7F"/>
    <w:rsid w:val="00EA7758"/>
    <w:rsid w:val="00EC00A9"/>
    <w:rsid w:val="00EC034F"/>
    <w:rsid w:val="00EC2248"/>
    <w:rsid w:val="00EE02CB"/>
    <w:rsid w:val="00F06D91"/>
    <w:rsid w:val="00F3014C"/>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782</Words>
  <Characters>4614</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cp:revision>
  <dcterms:created xsi:type="dcterms:W3CDTF">2025-05-19T07:33:00Z</dcterms:created>
  <dcterms:modified xsi:type="dcterms:W3CDTF">2025-05-28T00:58:00Z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